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17827841">
      <w:pPr>
        <w:pStyle w:val="Textoindependiente"/>
        <w:ind w:left="993" w:right="40" w:hanging="993"/>
        <w:jc w:val="left"/>
        <w:rPr>
          <w:rFonts w:ascii="Work Sans" w:hAnsi="Work Sans"/>
          <w:lang w:val="es-ES"/>
        </w:rPr>
      </w:pPr>
      <w:r w:rsidRPr="17827841">
        <w:rPr>
          <w:rFonts w:ascii="Work Sans" w:hAnsi="Work Sans"/>
          <w:lang w:val="es-ES"/>
        </w:rPr>
        <w:t xml:space="preserve">Asunto: </w:t>
      </w:r>
      <w:r>
        <w:tab/>
      </w:r>
      <w:r w:rsidRPr="17827841">
        <w:rPr>
          <w:rFonts w:ascii="Work Sans" w:hAnsi="Work Sans"/>
          <w:lang w:val="es-ES"/>
        </w:rPr>
        <w:t>r_asunto</w:t>
      </w:r>
    </w:p>
    <w:p w14:paraId="7F7EB8DF" w14:textId="77777777" w:rsidR="00DE1913" w:rsidRDefault="00DE1913">
      <w:pPr>
        <w:pStyle w:val="Textoindependiente"/>
        <w:ind w:right="40"/>
        <w:rPr>
          <w:rFonts w:ascii="Work Sans" w:hAnsi="Work Sans"/>
          <w:szCs w:val="24"/>
        </w:rPr>
      </w:pPr>
    </w:p>
    <w:p w14:paraId="1D172F78" w14:textId="77777777" w:rsidR="00D4543E" w:rsidRDefault="00D4543E" w:rsidP="00D4543E">
      <w:pPr>
        <w:spacing w:line="240" w:lineRule="auto"/>
        <w:ind w:right="51"/>
        <w:contextualSpacing/>
        <w:jc w:val="both"/>
        <w:rPr>
          <w:rFonts w:ascii="Work Sans" w:hAnsi="Work Sans" w:cs="Arial"/>
          <w:sz w:val="24"/>
          <w:szCs w:val="24"/>
          <w:lang w:val="es-ES"/>
        </w:rPr>
      </w:pPr>
      <w:r w:rsidRPr="17827841">
        <w:rPr>
          <w:rFonts w:ascii="Work Sans" w:hAnsi="Work Sans" w:cs="Arial"/>
          <w:sz w:val="24"/>
          <w:szCs w:val="24"/>
          <w:lang w:val="es-ES"/>
        </w:rPr>
        <w:t>Cordial saludo.</w:t>
      </w:r>
    </w:p>
    <w:p w14:paraId="039ADEA3" w14:textId="77777777" w:rsidR="00F72AA3" w:rsidRPr="00D4543E" w:rsidRDefault="00F72AA3" w:rsidP="00D4543E">
      <w:pPr>
        <w:spacing w:line="240" w:lineRule="auto"/>
        <w:ind w:right="51"/>
        <w:contextualSpacing/>
        <w:jc w:val="both"/>
        <w:rPr>
          <w:rFonts w:ascii="Work Sans" w:hAnsi="Work Sans" w:cs="Arial"/>
          <w:sz w:val="24"/>
          <w:lang w:val="es-ES_tradnl"/>
        </w:rPr>
      </w:pPr>
    </w:p>
    <w:p w14:paraId="43EA6E56" w14:textId="77777777" w:rsidR="00F72AA3" w:rsidRDefault="00F72AA3" w:rsidP="00F72AA3">
      <w:pPr>
        <w:spacing w:line="240" w:lineRule="auto"/>
        <w:ind w:right="51"/>
        <w:contextualSpacing/>
        <w:jc w:val="both"/>
        <w:rPr>
          <w:rFonts w:ascii="Work Sans" w:eastAsia="Work Sans" w:hAnsi="Work Sans" w:cs="Work Sans"/>
          <w:color w:val="000000" w:themeColor="text1"/>
          <w:sz w:val="24"/>
          <w:szCs w:val="24"/>
          <w:lang w:eastAsia="es-CO"/>
        </w:rPr>
      </w:pPr>
      <w:r w:rsidRPr="00E76D71">
        <w:rPr>
          <w:rFonts w:ascii="Work Sans" w:eastAsia="Work Sans" w:hAnsi="Work Sans" w:cs="Work Sans"/>
          <w:color w:val="000000" w:themeColor="text1"/>
          <w:sz w:val="24"/>
          <w:szCs w:val="24"/>
          <w:lang w:eastAsia="es-CO"/>
        </w:rPr>
        <w:t xml:space="preserve">Mediante escrito con radicado MME </w:t>
      </w:r>
      <w:r w:rsidRPr="00E76D71">
        <w:rPr>
          <w:rFonts w:ascii="Work Sans" w:eastAsia="Work Sans" w:hAnsi="Work Sans" w:cs="Work Sans"/>
          <w:color w:val="000000" w:themeColor="text1"/>
          <w:sz w:val="24"/>
          <w:szCs w:val="24"/>
          <w:highlight w:val="yellow"/>
          <w:lang w:eastAsia="es-CO"/>
        </w:rPr>
        <w:t>1-2026-XXXXX</w:t>
      </w:r>
      <w:r w:rsidRPr="00E76D71">
        <w:rPr>
          <w:rFonts w:ascii="Work Sans" w:eastAsia="Work Sans" w:hAnsi="Work Sans" w:cs="Work Sans"/>
          <w:color w:val="000000" w:themeColor="text1"/>
          <w:sz w:val="24"/>
          <w:szCs w:val="24"/>
          <w:lang w:eastAsia="es-CO"/>
        </w:rPr>
        <w:t xml:space="preserve"> remitido por </w:t>
      </w:r>
      <w:r w:rsidRPr="00E76D71">
        <w:rPr>
          <w:rFonts w:ascii="Work Sans" w:eastAsia="Work Sans" w:hAnsi="Work Sans" w:cs="Work Sans"/>
          <w:color w:val="000000" w:themeColor="text1"/>
          <w:sz w:val="24"/>
          <w:szCs w:val="24"/>
          <w:highlight w:val="yellow"/>
          <w:lang w:eastAsia="es-CO"/>
        </w:rPr>
        <w:t>NOMBRE DEL PETCIONARIO</w:t>
      </w:r>
      <w:r>
        <w:rPr>
          <w:rFonts w:ascii="Work Sans" w:eastAsia="Work Sans" w:hAnsi="Work Sans" w:cs="Work Sans"/>
          <w:color w:val="000000" w:themeColor="text1"/>
          <w:sz w:val="24"/>
          <w:szCs w:val="24"/>
          <w:lang w:eastAsia="es-CO"/>
        </w:rPr>
        <w:t xml:space="preserve"> </w:t>
      </w:r>
      <w:r w:rsidRPr="00E76D71">
        <w:rPr>
          <w:rFonts w:ascii="Work Sans" w:eastAsia="Work Sans" w:hAnsi="Work Sans" w:cs="Work Sans"/>
          <w:color w:val="000000" w:themeColor="text1"/>
          <w:sz w:val="24"/>
          <w:szCs w:val="24"/>
          <w:lang w:eastAsia="es-CO"/>
        </w:rPr>
        <w:t>y en el marco de las funciones y competencias otorgadas al Ministerio de Minas y Energía mediante Decreto No. 381 de 2012 y según la Ley 1755 de 2015, respondemos a su solicitud, frente a aquellos requerimientos que son de nuestra competencia:</w:t>
      </w:r>
    </w:p>
    <w:p w14:paraId="7F9F7491" w14:textId="77777777" w:rsidR="00D4543E" w:rsidRPr="00D4543E" w:rsidRDefault="00D4543E" w:rsidP="00D4543E">
      <w:pPr>
        <w:spacing w:line="240" w:lineRule="auto"/>
        <w:ind w:right="51"/>
        <w:contextualSpacing/>
        <w:jc w:val="both"/>
        <w:rPr>
          <w:rFonts w:ascii="Work Sans" w:hAnsi="Work Sans" w:cs="Arial"/>
          <w:sz w:val="24"/>
          <w:u w:val="single"/>
        </w:rPr>
      </w:pPr>
    </w:p>
    <w:p w14:paraId="1021F99E" w14:textId="048A336D" w:rsidR="17827841" w:rsidRDefault="17827841" w:rsidP="17827841">
      <w:pPr>
        <w:spacing w:line="240" w:lineRule="auto"/>
        <w:ind w:right="51"/>
        <w:contextualSpacing/>
        <w:jc w:val="both"/>
        <w:rPr>
          <w:rFonts w:ascii="Work Sans" w:eastAsia="Work Sans" w:hAnsi="Work Sans" w:cs="Work Sans"/>
          <w:color w:val="000000" w:themeColor="text1"/>
          <w:sz w:val="24"/>
          <w:szCs w:val="24"/>
          <w:lang w:val="es-ES"/>
        </w:rPr>
      </w:pPr>
    </w:p>
    <w:p w14:paraId="54959995" w14:textId="3BAE3C89" w:rsidR="2A33CD25" w:rsidRDefault="2A33CD25" w:rsidP="17827841">
      <w:pPr>
        <w:spacing w:line="240" w:lineRule="auto"/>
        <w:ind w:right="51"/>
        <w:contextualSpacing/>
        <w:jc w:val="both"/>
        <w:rPr>
          <w:rFonts w:ascii="Work Sans" w:eastAsia="Work Sans" w:hAnsi="Work Sans" w:cs="Work Sans"/>
          <w:color w:val="000000" w:themeColor="text1"/>
          <w:sz w:val="24"/>
          <w:szCs w:val="24"/>
          <w:lang w:val="es-ES"/>
        </w:rPr>
      </w:pPr>
      <w:r w:rsidRPr="17827841">
        <w:rPr>
          <w:rFonts w:ascii="Work Sans" w:eastAsia="Work Sans" w:hAnsi="Work Sans" w:cs="Work Sans"/>
          <w:i/>
          <w:iCs/>
          <w:color w:val="000000" w:themeColor="text1"/>
          <w:sz w:val="24"/>
          <w:szCs w:val="24"/>
          <w:highlight w:val="yellow"/>
        </w:rPr>
        <w:t xml:space="preserve">“(…) </w:t>
      </w:r>
      <w:r w:rsidRPr="17827841">
        <w:rPr>
          <w:rFonts w:ascii="Work Sans" w:eastAsia="Work Sans" w:hAnsi="Work Sans" w:cs="Work Sans"/>
          <w:color w:val="000000" w:themeColor="text1"/>
          <w:sz w:val="24"/>
          <w:szCs w:val="24"/>
          <w:highlight w:val="yellow"/>
        </w:rPr>
        <w:t xml:space="preserve">copiar solicitud completa, el tamaño de letra debe ser 11, en cursiva, (utilizar paréntesis al inicio y al final) </w:t>
      </w:r>
      <w:r w:rsidRPr="17827841">
        <w:rPr>
          <w:rFonts w:ascii="Work Sans" w:eastAsia="Work Sans" w:hAnsi="Work Sans" w:cs="Work Sans"/>
          <w:i/>
          <w:iCs/>
          <w:color w:val="000000" w:themeColor="text1"/>
          <w:sz w:val="24"/>
          <w:szCs w:val="24"/>
          <w:highlight w:val="yellow"/>
        </w:rPr>
        <w:t>(…)”</w:t>
      </w:r>
    </w:p>
    <w:p w14:paraId="01C48083" w14:textId="41647459" w:rsidR="17827841" w:rsidRDefault="17827841" w:rsidP="17827841">
      <w:pPr>
        <w:spacing w:line="240" w:lineRule="auto"/>
        <w:ind w:right="51"/>
        <w:contextualSpacing/>
        <w:jc w:val="both"/>
        <w:rPr>
          <w:rFonts w:ascii="Work Sans" w:hAnsi="Work Sans" w:cs="Arial"/>
          <w:sz w:val="24"/>
          <w:szCs w:val="24"/>
        </w:rPr>
      </w:pPr>
    </w:p>
    <w:p w14:paraId="35B5F5DC" w14:textId="77777777" w:rsidR="00110584" w:rsidRDefault="00110584" w:rsidP="00110584">
      <w:pPr>
        <w:spacing w:line="240" w:lineRule="auto"/>
        <w:ind w:right="51"/>
        <w:contextualSpacing/>
        <w:jc w:val="both"/>
        <w:rPr>
          <w:rFonts w:ascii="Work Sans" w:hAnsi="Work Sans" w:cs="Arial"/>
          <w:sz w:val="24"/>
        </w:rPr>
      </w:pPr>
    </w:p>
    <w:p w14:paraId="50F18BDF" w14:textId="55ABAA6D" w:rsidR="00110584" w:rsidRDefault="00110584" w:rsidP="00110584">
      <w:pPr>
        <w:spacing w:line="240" w:lineRule="auto"/>
        <w:ind w:right="51"/>
        <w:contextualSpacing/>
        <w:jc w:val="both"/>
        <w:rPr>
          <w:rFonts w:ascii="Work Sans" w:hAnsi="Work Sans" w:cs="Arial"/>
          <w:sz w:val="24"/>
        </w:rPr>
      </w:pPr>
      <w:r w:rsidRPr="17827841">
        <w:rPr>
          <w:rFonts w:ascii="Work Sans" w:hAnsi="Work Sans" w:cs="Arial"/>
          <w:sz w:val="24"/>
          <w:szCs w:val="24"/>
        </w:rPr>
        <w:t>Con el propósito de brindar orientación frente a las diferentes iniciativas y estrategias impulsadas por esta cartera ministerial en materia de Fuentes No Convencionales de Energía Renovable (FNCER), nos permitimos informar lo siguiente:</w:t>
      </w:r>
    </w:p>
    <w:p w14:paraId="23EECFE5" w14:textId="36F431D0" w:rsidR="17827841" w:rsidRDefault="17827841" w:rsidP="17827841">
      <w:pPr>
        <w:spacing w:line="240" w:lineRule="auto"/>
        <w:ind w:right="51"/>
        <w:contextualSpacing/>
        <w:jc w:val="both"/>
        <w:rPr>
          <w:rFonts w:ascii="Work Sans" w:hAnsi="Work Sans" w:cs="Arial"/>
          <w:sz w:val="24"/>
          <w:szCs w:val="24"/>
        </w:rPr>
      </w:pPr>
    </w:p>
    <w:p w14:paraId="5D8FC5CC" w14:textId="77777777" w:rsidR="00110584" w:rsidRDefault="00110584" w:rsidP="00110584">
      <w:pPr>
        <w:spacing w:line="240" w:lineRule="auto"/>
        <w:ind w:right="51"/>
        <w:contextualSpacing/>
        <w:jc w:val="both"/>
        <w:rPr>
          <w:rFonts w:ascii="Work Sans" w:hAnsi="Work Sans" w:cs="Arial"/>
          <w:sz w:val="24"/>
        </w:rPr>
      </w:pPr>
      <w:r w:rsidRPr="00110584">
        <w:rPr>
          <w:rFonts w:ascii="Work Sans" w:hAnsi="Work Sans" w:cs="Arial"/>
          <w:sz w:val="24"/>
        </w:rPr>
        <w:t xml:space="preserve">Actualmente, el Ministerio de Minas y Energía adelanta la implementación de la Estrategia Nacional de Comunidades Energéticas, orientada a promover la participación de usuarios y potenciales usuarios de servicios energéticos en procesos de generación, comercialización y uso eficiente de la energía, mediante el aprovechamiento de Fuentes No Convencionales de Energía </w:t>
      </w:r>
      <w:r w:rsidRPr="00110584">
        <w:rPr>
          <w:rFonts w:ascii="Work Sans" w:hAnsi="Work Sans" w:cs="Arial"/>
          <w:sz w:val="24"/>
        </w:rPr>
        <w:lastRenderedPageBreak/>
        <w:t>Renovable, combustibles renovables y recursos energéticos distribuidos, conforme a lo establecido en el Decreto 2236 de 2023.</w:t>
      </w:r>
    </w:p>
    <w:p w14:paraId="36258812" w14:textId="77777777" w:rsidR="00110584" w:rsidRPr="00110584" w:rsidRDefault="00110584" w:rsidP="00110584">
      <w:pPr>
        <w:spacing w:line="240" w:lineRule="auto"/>
        <w:ind w:right="51"/>
        <w:contextualSpacing/>
        <w:jc w:val="both"/>
        <w:rPr>
          <w:rFonts w:ascii="Work Sans" w:hAnsi="Work Sans" w:cs="Arial"/>
          <w:sz w:val="24"/>
        </w:rPr>
      </w:pPr>
    </w:p>
    <w:p w14:paraId="6FA41081" w14:textId="77777777" w:rsidR="00110584" w:rsidRDefault="00110584" w:rsidP="00110584">
      <w:pPr>
        <w:spacing w:line="240" w:lineRule="auto"/>
        <w:ind w:right="51"/>
        <w:contextualSpacing/>
        <w:jc w:val="both"/>
        <w:rPr>
          <w:rFonts w:ascii="Work Sans" w:hAnsi="Work Sans" w:cs="Arial"/>
          <w:sz w:val="24"/>
        </w:rPr>
      </w:pPr>
      <w:r w:rsidRPr="00110584">
        <w:rPr>
          <w:rFonts w:ascii="Work Sans" w:hAnsi="Work Sans" w:cs="Arial"/>
          <w:sz w:val="24"/>
        </w:rPr>
        <w:t>La primera fase de postulación a esta estrategia se desarrolló entre noviembre de 2023 y el 17 de abril de 2024, periodo durante el cual se recibieron más de 18.000 postulaciones de personas naturales y jurídicas interesadas en hacer parte de las Comunidades Energéticas. Actualmente, el Ministerio se encuentra adelantando los procesos de evaluación, focalización y priorización de dichas postulaciones, de acuerdo con los criterios establecidos en la Resolución 40509 de 2024 y el Decreto 2236 de 2023.</w:t>
      </w:r>
    </w:p>
    <w:p w14:paraId="6AC2012F" w14:textId="77777777" w:rsidR="00110584" w:rsidRPr="00110584" w:rsidRDefault="00110584" w:rsidP="00110584">
      <w:pPr>
        <w:spacing w:line="240" w:lineRule="auto"/>
        <w:ind w:right="51"/>
        <w:contextualSpacing/>
        <w:jc w:val="both"/>
        <w:rPr>
          <w:rFonts w:ascii="Work Sans" w:hAnsi="Work Sans" w:cs="Arial"/>
          <w:sz w:val="24"/>
        </w:rPr>
      </w:pPr>
    </w:p>
    <w:p w14:paraId="041A0633" w14:textId="77777777" w:rsidR="00110584" w:rsidRDefault="00110584" w:rsidP="00110584">
      <w:pPr>
        <w:spacing w:line="240" w:lineRule="auto"/>
        <w:ind w:right="51"/>
        <w:contextualSpacing/>
        <w:jc w:val="both"/>
        <w:rPr>
          <w:rFonts w:ascii="Work Sans" w:hAnsi="Work Sans" w:cs="Arial"/>
          <w:sz w:val="24"/>
        </w:rPr>
      </w:pPr>
      <w:r w:rsidRPr="00110584">
        <w:rPr>
          <w:rFonts w:ascii="Work Sans" w:hAnsi="Work Sans" w:cs="Arial"/>
          <w:sz w:val="24"/>
        </w:rPr>
        <w:t>En consecuencia, mientras culmina el proceso de análisis y priorización de las postulaciones recibidas, no se encuentran habilitadas nuevas convocatorias dentro de la Estrategia Nacional de Comunidades Energéticas. Por ello, se recomienda consultar periódicamente los canales oficiales del Ministerio de Minas y Energía (</w:t>
      </w:r>
      <w:hyperlink r:id="rId6" w:tgtFrame="_new" w:history="1">
        <w:r w:rsidRPr="00110584">
          <w:rPr>
            <w:rStyle w:val="Hipervnculo"/>
            <w:rFonts w:ascii="Work Sans" w:hAnsi="Work Sans" w:cs="Arial"/>
            <w:sz w:val="24"/>
          </w:rPr>
          <w:t>https://www.minenergia.gov.co/es/</w:t>
        </w:r>
      </w:hyperlink>
      <w:r w:rsidRPr="00110584">
        <w:rPr>
          <w:rFonts w:ascii="Work Sans" w:hAnsi="Work Sans" w:cs="Arial"/>
          <w:sz w:val="24"/>
        </w:rPr>
        <w:t>) y del Fondo de Energías No Convencionales y Gestión Eficiente de la Energía – FENOGE (</w:t>
      </w:r>
      <w:hyperlink r:id="rId7" w:tgtFrame="_new" w:history="1">
        <w:r w:rsidRPr="00110584">
          <w:rPr>
            <w:rStyle w:val="Hipervnculo"/>
            <w:rFonts w:ascii="Work Sans" w:hAnsi="Work Sans" w:cs="Arial"/>
            <w:sz w:val="24"/>
          </w:rPr>
          <w:t>https://fenoge.gov.co/</w:t>
        </w:r>
      </w:hyperlink>
      <w:r w:rsidRPr="00110584">
        <w:rPr>
          <w:rFonts w:ascii="Work Sans" w:hAnsi="Work Sans" w:cs="Arial"/>
          <w:sz w:val="24"/>
        </w:rPr>
        <w:t>), donde se publicará información sobre futuras fases y lineamientos asociados a la estrategia.</w:t>
      </w:r>
    </w:p>
    <w:p w14:paraId="3FF91087" w14:textId="77777777" w:rsidR="00110584" w:rsidRPr="00110584" w:rsidRDefault="00110584" w:rsidP="00110584">
      <w:pPr>
        <w:spacing w:line="240" w:lineRule="auto"/>
        <w:ind w:right="51"/>
        <w:contextualSpacing/>
        <w:jc w:val="both"/>
        <w:rPr>
          <w:rFonts w:ascii="Work Sans" w:hAnsi="Work Sans" w:cs="Arial"/>
          <w:sz w:val="24"/>
        </w:rPr>
      </w:pPr>
    </w:p>
    <w:p w14:paraId="756C8434" w14:textId="77777777" w:rsidR="00110584" w:rsidRDefault="00110584" w:rsidP="00110584">
      <w:pPr>
        <w:spacing w:line="240" w:lineRule="auto"/>
        <w:ind w:right="51"/>
        <w:contextualSpacing/>
        <w:jc w:val="both"/>
        <w:rPr>
          <w:rFonts w:ascii="Work Sans" w:hAnsi="Work Sans" w:cs="Arial"/>
          <w:sz w:val="24"/>
        </w:rPr>
      </w:pPr>
      <w:r w:rsidRPr="17827841">
        <w:rPr>
          <w:rFonts w:ascii="Work Sans" w:hAnsi="Work Sans" w:cs="Arial"/>
          <w:sz w:val="24"/>
          <w:szCs w:val="24"/>
        </w:rPr>
        <w:t>De igual manera, se informa que mediante el Decreto 0972 del 8 de septiembre de 2025 se creó el Programa Colombia Solar, iniciativa orientada a sustituir progresivamente los subsidios al consumo de energía por soluciones de autogeneración solar, dirigidas a usuarios de estratos 1, 2 y 3, tanto en el Sistema Interconectado Nacional (SIN) como en las Zonas No Interconectadas (ZNI).</w:t>
      </w:r>
    </w:p>
    <w:p w14:paraId="3B921C50" w14:textId="5F935E0E" w:rsidR="17827841" w:rsidRDefault="17827841" w:rsidP="17827841">
      <w:pPr>
        <w:spacing w:line="240" w:lineRule="auto"/>
        <w:ind w:right="51"/>
        <w:contextualSpacing/>
        <w:jc w:val="both"/>
        <w:rPr>
          <w:rFonts w:ascii="Work Sans" w:hAnsi="Work Sans" w:cs="Arial"/>
          <w:sz w:val="24"/>
          <w:szCs w:val="24"/>
        </w:rPr>
      </w:pPr>
    </w:p>
    <w:p w14:paraId="5F18A923" w14:textId="77777777" w:rsidR="00110584" w:rsidRDefault="00110584" w:rsidP="00110584">
      <w:pPr>
        <w:spacing w:line="240" w:lineRule="auto"/>
        <w:ind w:right="51"/>
        <w:contextualSpacing/>
        <w:jc w:val="both"/>
        <w:rPr>
          <w:rFonts w:ascii="Work Sans" w:hAnsi="Work Sans" w:cs="Arial"/>
          <w:sz w:val="24"/>
        </w:rPr>
      </w:pPr>
      <w:r w:rsidRPr="00110584">
        <w:rPr>
          <w:rFonts w:ascii="Work Sans" w:hAnsi="Work Sans" w:cs="Arial"/>
          <w:sz w:val="24"/>
        </w:rPr>
        <w:t>Este programa obtuvo concepto favorable de viabilidad técnica y presupuestal por parte del Departamento Nacional de Planeación (DNP) el 30 de mayo de 2025, bajo el código BPIN 202500000025335, y posteriormente fue reconocido como Proyecto de Interés Nacional y Estratégico (PINES) por la Comisión Intersectorial de Proyectos Estratégicos (CIPE), conforme al Decreto 1020 de 2024 y al parágrafo 4° del artículo 5° de la Ley 2294 de 2023 – Plan Nacional de Desarrollo.</w:t>
      </w:r>
    </w:p>
    <w:p w14:paraId="110B441F" w14:textId="77777777" w:rsidR="00110584" w:rsidRPr="00110584" w:rsidRDefault="00110584" w:rsidP="00110584">
      <w:pPr>
        <w:spacing w:line="240" w:lineRule="auto"/>
        <w:ind w:right="51"/>
        <w:contextualSpacing/>
        <w:jc w:val="both"/>
        <w:rPr>
          <w:rFonts w:ascii="Work Sans" w:hAnsi="Work Sans" w:cs="Arial"/>
          <w:sz w:val="24"/>
        </w:rPr>
      </w:pPr>
    </w:p>
    <w:p w14:paraId="501D936F" w14:textId="77777777" w:rsidR="00110584" w:rsidRDefault="00110584" w:rsidP="00110584">
      <w:pPr>
        <w:spacing w:line="240" w:lineRule="auto"/>
        <w:ind w:right="51"/>
        <w:contextualSpacing/>
        <w:jc w:val="both"/>
        <w:rPr>
          <w:rFonts w:ascii="Work Sans" w:hAnsi="Work Sans" w:cs="Arial"/>
          <w:sz w:val="24"/>
        </w:rPr>
      </w:pPr>
      <w:r w:rsidRPr="00110584">
        <w:rPr>
          <w:rFonts w:ascii="Work Sans" w:hAnsi="Work Sans" w:cs="Arial"/>
          <w:sz w:val="24"/>
        </w:rPr>
        <w:t xml:space="preserve">Así mismo, el Ministerio de Minas y Energía expidió la Resolución 40159 del 16 de marzo de 2026, mediante la cual se establecen los lineamientos técnicos, operativos y de focalización para la implementación del Programa Colombia </w:t>
      </w:r>
      <w:r w:rsidRPr="00110584">
        <w:rPr>
          <w:rFonts w:ascii="Work Sans" w:hAnsi="Work Sans" w:cs="Arial"/>
          <w:sz w:val="24"/>
        </w:rPr>
        <w:lastRenderedPageBreak/>
        <w:t>Solar, cuya ejecución se desarrolla de manera progresiva, secuencial y territorializada, priorizando zonas con mayores necesidades de atención energética.</w:t>
      </w:r>
    </w:p>
    <w:p w14:paraId="26B1176D" w14:textId="77777777" w:rsidR="00110584" w:rsidRPr="00110584" w:rsidRDefault="00110584" w:rsidP="00110584">
      <w:pPr>
        <w:spacing w:line="240" w:lineRule="auto"/>
        <w:ind w:right="51"/>
        <w:contextualSpacing/>
        <w:jc w:val="both"/>
        <w:rPr>
          <w:rFonts w:ascii="Work Sans" w:hAnsi="Work Sans" w:cs="Arial"/>
          <w:sz w:val="24"/>
        </w:rPr>
      </w:pPr>
    </w:p>
    <w:p w14:paraId="423AF785" w14:textId="14C6793B" w:rsidR="00110584" w:rsidRDefault="0010341A" w:rsidP="00110584">
      <w:pPr>
        <w:spacing w:line="240" w:lineRule="auto"/>
        <w:ind w:right="51"/>
        <w:contextualSpacing/>
        <w:jc w:val="both"/>
        <w:rPr>
          <w:rFonts w:ascii="Work Sans" w:hAnsi="Work Sans" w:cs="Arial"/>
          <w:sz w:val="24"/>
        </w:rPr>
      </w:pPr>
      <w:r w:rsidRPr="0010341A">
        <w:rPr>
          <w:rFonts w:ascii="Work Sans" w:hAnsi="Work Sans" w:cs="Arial"/>
          <w:sz w:val="24"/>
        </w:rPr>
        <w:t>Es importante señalar que, en la actualidad, el programa se encuentra en fase de implementación territorial y focalización, por lo cual no se han dispuesto convocatorias abiertas ni procesos de inscripción individual, en tanto las intervenciones se desarrollan conforme a criterios técnicos y territoriales definidos institucionalmente.</w:t>
      </w:r>
    </w:p>
    <w:p w14:paraId="0406B359" w14:textId="77777777" w:rsidR="0010341A" w:rsidRPr="00110584" w:rsidRDefault="0010341A" w:rsidP="00110584">
      <w:pPr>
        <w:spacing w:line="240" w:lineRule="auto"/>
        <w:ind w:right="51"/>
        <w:contextualSpacing/>
        <w:jc w:val="both"/>
        <w:rPr>
          <w:rFonts w:ascii="Work Sans" w:hAnsi="Work Sans" w:cs="Arial"/>
          <w:sz w:val="24"/>
        </w:rPr>
      </w:pPr>
    </w:p>
    <w:p w14:paraId="3DF0BF71" w14:textId="77777777" w:rsidR="00110584" w:rsidRPr="00110584" w:rsidRDefault="00110584" w:rsidP="00110584">
      <w:pPr>
        <w:spacing w:line="240" w:lineRule="auto"/>
        <w:ind w:right="51"/>
        <w:contextualSpacing/>
        <w:jc w:val="both"/>
        <w:rPr>
          <w:rFonts w:ascii="Work Sans" w:hAnsi="Work Sans" w:cs="Arial"/>
          <w:sz w:val="24"/>
        </w:rPr>
      </w:pPr>
      <w:r w:rsidRPr="00110584">
        <w:rPr>
          <w:rFonts w:ascii="Work Sans" w:hAnsi="Work Sans" w:cs="Arial"/>
          <w:sz w:val="24"/>
        </w:rPr>
        <w:t>El Ministerio de Minas y Energía reitera su compromiso con el fortalecimiento de la Transición Energética Justa y con el desarrollo de estrategias que permitan ampliar progresivamente el acceso a soluciones energéticas sostenibles para las comunidades y hogares del país.</w:t>
      </w:r>
    </w:p>
    <w:p w14:paraId="7BCF2169" w14:textId="77777777" w:rsidR="00D4543E" w:rsidRPr="00D4543E" w:rsidRDefault="00D4543E" w:rsidP="00D4543E">
      <w:pPr>
        <w:spacing w:line="240" w:lineRule="auto"/>
        <w:ind w:right="51"/>
        <w:contextualSpacing/>
        <w:jc w:val="both"/>
        <w:rPr>
          <w:rFonts w:ascii="Work Sans" w:hAnsi="Work Sans" w:cs="Arial"/>
          <w:sz w:val="24"/>
        </w:rPr>
      </w:pPr>
    </w:p>
    <w:p w14:paraId="5441C0D7" w14:textId="77777777" w:rsidR="00D4543E" w:rsidRPr="00D4543E" w:rsidRDefault="00D4543E" w:rsidP="00D4543E">
      <w:pPr>
        <w:spacing w:line="240" w:lineRule="auto"/>
        <w:ind w:right="51"/>
        <w:contextualSpacing/>
        <w:jc w:val="both"/>
        <w:rPr>
          <w:rFonts w:ascii="Work Sans" w:hAnsi="Work Sans" w:cs="Arial"/>
          <w:sz w:val="24"/>
        </w:rPr>
      </w:pPr>
      <w:r w:rsidRPr="00D4543E">
        <w:rPr>
          <w:rFonts w:ascii="Work Sans" w:hAnsi="Work Sans" w:cs="Arial"/>
          <w:sz w:val="24"/>
        </w:rPr>
        <w:t>El compromiso del Ministerio de Minas y Energía es avanzar de manera progresiva en la implementación de la estrategia, ampliando cada vez más el alcance y los beneficiarios. Confiamos en que el esfuerzo y la participación de su comunidad contribuirán a fortalecer esta transición energética justa y sostenible, generando impactos positivos en el territorio. peticiones formuladas por los ciudadanos, lo que se cumple mediante el presente pronunciamiento.</w:t>
      </w:r>
    </w:p>
    <w:p w14:paraId="798FD025" w14:textId="77777777" w:rsidR="00D4543E" w:rsidRPr="00D4543E" w:rsidRDefault="00D4543E" w:rsidP="00D4543E">
      <w:pPr>
        <w:spacing w:line="240" w:lineRule="auto"/>
        <w:ind w:right="51"/>
        <w:contextualSpacing/>
        <w:jc w:val="both"/>
        <w:rPr>
          <w:rFonts w:ascii="Work Sans" w:hAnsi="Work Sans" w:cs="Arial"/>
          <w:sz w:val="24"/>
          <w:highlight w:val="yellow"/>
        </w:rPr>
      </w:pP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76582" w14:textId="77777777" w:rsidR="00D60CAD" w:rsidRDefault="00D60CAD">
      <w:pPr>
        <w:spacing w:after="0" w:line="240" w:lineRule="auto"/>
      </w:pPr>
      <w:r>
        <w:separator/>
      </w:r>
    </w:p>
  </w:endnote>
  <w:endnote w:type="continuationSeparator" w:id="0">
    <w:p w14:paraId="749EBC96" w14:textId="77777777" w:rsidR="00D60CAD" w:rsidRDefault="00D60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E478" w14:textId="77777777" w:rsidR="00D60CAD" w:rsidRDefault="00D60CAD">
      <w:pPr>
        <w:spacing w:after="0" w:line="240" w:lineRule="auto"/>
      </w:pPr>
      <w:r>
        <w:separator/>
      </w:r>
    </w:p>
  </w:footnote>
  <w:footnote w:type="continuationSeparator" w:id="0">
    <w:p w14:paraId="015C0BFF" w14:textId="77777777" w:rsidR="00D60CAD" w:rsidRDefault="00D60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0341A"/>
    <w:rsid w:val="00110584"/>
    <w:rsid w:val="001818F1"/>
    <w:rsid w:val="001F37CD"/>
    <w:rsid w:val="00230DAF"/>
    <w:rsid w:val="002478C2"/>
    <w:rsid w:val="00262ACE"/>
    <w:rsid w:val="003121A9"/>
    <w:rsid w:val="00312824"/>
    <w:rsid w:val="003261FC"/>
    <w:rsid w:val="003B2B73"/>
    <w:rsid w:val="003D2BEA"/>
    <w:rsid w:val="00484A5A"/>
    <w:rsid w:val="00496E70"/>
    <w:rsid w:val="005225C6"/>
    <w:rsid w:val="005617AA"/>
    <w:rsid w:val="005646C4"/>
    <w:rsid w:val="00606BDC"/>
    <w:rsid w:val="00640E5A"/>
    <w:rsid w:val="00712E73"/>
    <w:rsid w:val="007A5A72"/>
    <w:rsid w:val="00830730"/>
    <w:rsid w:val="00892C0E"/>
    <w:rsid w:val="008E4ABF"/>
    <w:rsid w:val="009359F1"/>
    <w:rsid w:val="00981241"/>
    <w:rsid w:val="009E5228"/>
    <w:rsid w:val="00A170CC"/>
    <w:rsid w:val="00A308D6"/>
    <w:rsid w:val="00A3590E"/>
    <w:rsid w:val="00A86526"/>
    <w:rsid w:val="00A9681E"/>
    <w:rsid w:val="00AD43C1"/>
    <w:rsid w:val="00AF5EF9"/>
    <w:rsid w:val="00B4250F"/>
    <w:rsid w:val="00B51607"/>
    <w:rsid w:val="00C0455B"/>
    <w:rsid w:val="00CB4BBA"/>
    <w:rsid w:val="00D4543E"/>
    <w:rsid w:val="00D520CB"/>
    <w:rsid w:val="00D60CAD"/>
    <w:rsid w:val="00DC7B37"/>
    <w:rsid w:val="00DE1913"/>
    <w:rsid w:val="00E113E2"/>
    <w:rsid w:val="00E37AC0"/>
    <w:rsid w:val="00E823F2"/>
    <w:rsid w:val="00EB3862"/>
    <w:rsid w:val="00EF1A0F"/>
    <w:rsid w:val="00F72AA3"/>
    <w:rsid w:val="00F80A1F"/>
    <w:rsid w:val="00F94C11"/>
    <w:rsid w:val="00FA439A"/>
    <w:rsid w:val="00FD392C"/>
    <w:rsid w:val="045C3355"/>
    <w:rsid w:val="0D38FCEC"/>
    <w:rsid w:val="17827841"/>
    <w:rsid w:val="26731215"/>
    <w:rsid w:val="2A33CD25"/>
    <w:rsid w:val="3B3D6619"/>
    <w:rsid w:val="7149CCC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basedOn w:val="Fuentedeprrafopredeter"/>
    <w:uiPriority w:val="99"/>
    <w:unhideWhenUsed/>
    <w:rsid w:val="00D4543E"/>
    <w:rPr>
      <w:color w:val="0563C1" w:themeColor="hyperlink"/>
      <w:u w:val="single"/>
    </w:rPr>
  </w:style>
  <w:style w:type="character" w:styleId="Mencinsinresolver">
    <w:name w:val="Unresolved Mention"/>
    <w:basedOn w:val="Fuentedeprrafopredeter"/>
    <w:uiPriority w:val="99"/>
    <w:semiHidden/>
    <w:unhideWhenUsed/>
    <w:rsid w:val="00D4543E"/>
    <w:rPr>
      <w:color w:val="605E5C"/>
      <w:shd w:val="clear" w:color="auto" w:fill="E1DFDD"/>
    </w:rPr>
  </w:style>
  <w:style w:type="paragraph" w:customStyle="1" w:styleId="paragraph">
    <w:name w:val="paragraph"/>
    <w:basedOn w:val="Normal"/>
    <w:uiPriority w:val="1"/>
    <w:rsid w:val="17827841"/>
    <w:pPr>
      <w:spacing w:beforeAutospacing="1" w:afterAutospacing="1"/>
    </w:pPr>
    <w:rPr>
      <w:rFonts w:eastAsiaTheme="minorEastAsia"/>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809209">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53543308">
      <w:bodyDiv w:val="1"/>
      <w:marLeft w:val="0"/>
      <w:marRight w:val="0"/>
      <w:marTop w:val="0"/>
      <w:marBottom w:val="0"/>
      <w:divBdr>
        <w:top w:val="none" w:sz="0" w:space="0" w:color="auto"/>
        <w:left w:val="none" w:sz="0" w:space="0" w:color="auto"/>
        <w:bottom w:val="none" w:sz="0" w:space="0" w:color="auto"/>
        <w:right w:val="none" w:sz="0" w:space="0" w:color="auto"/>
      </w:divBdr>
    </w:div>
    <w:div w:id="982351275">
      <w:bodyDiv w:val="1"/>
      <w:marLeft w:val="0"/>
      <w:marRight w:val="0"/>
      <w:marTop w:val="0"/>
      <w:marBottom w:val="0"/>
      <w:divBdr>
        <w:top w:val="none" w:sz="0" w:space="0" w:color="auto"/>
        <w:left w:val="none" w:sz="0" w:space="0" w:color="auto"/>
        <w:bottom w:val="none" w:sz="0" w:space="0" w:color="auto"/>
        <w:right w:val="none" w:sz="0" w:space="0" w:color="auto"/>
      </w:divBdr>
    </w:div>
    <w:div w:id="116852362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enoge.gov.c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inenergia.gov.co/e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4293</Characters>
  <Application>Microsoft Office Word</Application>
  <DocSecurity>0</DocSecurity>
  <Lines>35</Lines>
  <Paragraphs>10</Paragraphs>
  <ScaleCrop>false</ScaleCrop>
  <Company>HP</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Alexandra Rodriguez Novoa</cp:lastModifiedBy>
  <cp:revision>2</cp:revision>
  <dcterms:created xsi:type="dcterms:W3CDTF">2026-05-29T04:00:00Z</dcterms:created>
  <dcterms:modified xsi:type="dcterms:W3CDTF">2026-05-29T04:00:00Z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